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Equity Committee Meeting</w:t>
      </w:r>
    </w:p>
    <w:p w:rsidR="00000000" w:rsidDel="00000000" w:rsidP="00000000" w:rsidRDefault="00000000" w:rsidRPr="00000000" w14:paraId="00000002">
      <w:pPr>
        <w:rPr/>
      </w:pPr>
      <w:r w:rsidDel="00000000" w:rsidR="00000000" w:rsidRPr="00000000">
        <w:rPr>
          <w:rtl w:val="0"/>
        </w:rPr>
        <w:t xml:space="preserve">June 11, 2026 at 2 p.m., on Zoom</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bCs w:val="1"/>
          <w:rtl w:val="0"/>
        </w:rPr>
        <w:t xml:space="preserve">Attending: </w:t>
      </w:r>
      <w:r w:rsidDel="00000000" w:rsidR="00000000" w:rsidRPr="00000000">
        <w:rPr>
          <w:rtl w:val="0"/>
        </w:rPr>
        <w:t xml:space="preserve">Judith Wines (UHLS), Melissa Tacke (UHLS), Chris Sagaas (UHLS), Seth Strock (GUIL), Tracey Pause (VOOR), Andrea Nicolay (APL), Sarah Kerr-Mace (MEND), Sarah Romeo (BETH)</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b w:val="1"/>
          <w:bCs w:val="1"/>
          <w:rtl w:val="0"/>
        </w:rPr>
        <w:t xml:space="preserve">Review of </w:t>
      </w:r>
      <w:r w:rsidDel="00000000" w:rsidR="00000000" w:rsidRPr="00000000">
        <w:rPr>
          <w:b w:val="1"/>
          <w:bCs w:val="1"/>
          <w:rtl w:val="0"/>
        </w:rPr>
        <w:t xml:space="preserve">minutes</w:t>
      </w:r>
      <w:r w:rsidDel="00000000" w:rsidR="00000000" w:rsidRPr="00000000">
        <w:rPr>
          <w:b w:val="1"/>
          <w:bCs w:val="1"/>
          <w:rtl w:val="0"/>
        </w:rPr>
        <w:t xml:space="preserve"> from May Meeting</w:t>
      </w:r>
    </w:p>
    <w:p w:rsidR="00000000" w:rsidDel="00000000" w:rsidP="00000000" w:rsidRDefault="00000000" w:rsidRPr="00000000" w14:paraId="00000007">
      <w:pPr>
        <w:rPr/>
      </w:pPr>
      <w:r w:rsidDel="00000000" w:rsidR="00000000" w:rsidRPr="00000000">
        <w:rPr>
          <w:rtl w:val="0"/>
        </w:rPr>
        <w:t xml:space="preserve">No changes made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New Committee Member - Welcome Melissa</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b w:val="1"/>
          <w:bCs w:val="1"/>
          <w:rtl w:val="0"/>
        </w:rPr>
        <w:t xml:space="preserve">Review of </w:t>
      </w:r>
      <w:hyperlink r:id="rId6">
        <w:r w:rsidDel="00000000" w:rsidR="00000000" w:rsidRPr="00000000">
          <w:rPr>
            <w:b w:val="1"/>
            <w:bCs w:val="1"/>
            <w:color w:val="1155cc"/>
            <w:u w:val="single"/>
            <w:rtl w:val="0"/>
          </w:rPr>
          <w:t xml:space="preserve">VAFL Facilities and Equipment</w:t>
        </w:r>
      </w:hyperlink>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They seem to be cognizant of the issues they have with building accessibility, and they are planning on applying for a construction grant to install accessible doors.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(Note: Move away from saying “handicap-accessible” and just say “accessible”)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b w:val="1"/>
          <w:bCs w:val="1"/>
          <w:rtl w:val="0"/>
        </w:rPr>
        <w:t xml:space="preserve">Follow up on DA conversation about WCAG support for Equity Committee next steps</w:t>
      </w:r>
    </w:p>
    <w:p w:rsidR="00000000" w:rsidDel="00000000" w:rsidP="00000000" w:rsidRDefault="00000000" w:rsidRPr="00000000" w14:paraId="00000011">
      <w:pPr>
        <w:rPr>
          <w:b w:val="1"/>
          <w:bCs w:val="1"/>
        </w:rPr>
      </w:pPr>
      <w:r w:rsidDel="00000000" w:rsidR="00000000" w:rsidRPr="00000000">
        <w:rPr>
          <w:b w:val="1"/>
          <w:bCs w:val="1"/>
          <w:rtl w:val="0"/>
        </w:rPr>
        <w:t xml:space="preserve">(Other possibilities: physical accessibility focus)</w:t>
      </w:r>
    </w:p>
    <w:p w:rsidR="00000000" w:rsidDel="00000000" w:rsidP="00000000" w:rsidRDefault="00000000" w:rsidRPr="00000000" w14:paraId="00000012">
      <w:pPr>
        <w:rPr/>
      </w:pPr>
      <w:r w:rsidDel="00000000" w:rsidR="00000000" w:rsidRPr="00000000">
        <w:rPr>
          <w:rtl w:val="0"/>
        </w:rPr>
        <w:t xml:space="preserve">How could we use the Facilities and Equipment module to help libraries build on what they’ve done?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Southern Tier Library System has a </w:t>
      </w:r>
      <w:hyperlink r:id="rId7">
        <w:r w:rsidDel="00000000" w:rsidR="00000000" w:rsidRPr="00000000">
          <w:rPr>
            <w:color w:val="1155cc"/>
            <w:u w:val="single"/>
            <w:rtl w:val="0"/>
          </w:rPr>
          <w:t xml:space="preserve">LibGuide for WCAG resources</w:t>
        </w:r>
      </w:hyperlink>
      <w:r w:rsidDel="00000000" w:rsidR="00000000" w:rsidRPr="00000000">
        <w:rPr>
          <w:rtl w:val="0"/>
        </w:rPr>
        <w:t xml:space="preserve"> which could be useful.</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Mid-York created a digestible checklist of ADA accessibility guidelines that we could borrow from. We could similarly break down the ADA checklist and send out pieces of it quarterly to keep it from becoming overwhelming for libraries to fulfill.</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DA conversation about WCAG: General consensus was that people are eager to have opportunities to learn how to be WCAG-compliant. Most of the libraries have the revised 2028 deadline. There was an interest in having the “Getting It Done”-type sessions surrounding WCAG before the DA to help with the process. Libraries seem to want hand-holding with WCAG and would appreciate any guidance with compliance.</w:t>
      </w:r>
    </w:p>
    <w:p w:rsidR="00000000" w:rsidDel="00000000" w:rsidP="00000000" w:rsidRDefault="00000000" w:rsidRPr="00000000" w14:paraId="00000019">
      <w:pPr>
        <w:rPr>
          <w:b w:val="1"/>
          <w:bCs w:val="1"/>
        </w:rPr>
      </w:pPr>
      <w:r w:rsidDel="00000000" w:rsidR="00000000" w:rsidRPr="00000000">
        <w:rPr>
          <w:rtl w:val="0"/>
        </w:rPr>
      </w:r>
    </w:p>
    <w:p w:rsidR="00000000" w:rsidDel="00000000" w:rsidP="00000000" w:rsidRDefault="00000000" w:rsidRPr="00000000" w14:paraId="0000001A">
      <w:pPr>
        <w:rPr>
          <w:b w:val="1"/>
          <w:bCs w:val="1"/>
        </w:rPr>
      </w:pPr>
      <w:r w:rsidDel="00000000" w:rsidR="00000000" w:rsidRPr="00000000">
        <w:rPr>
          <w:b w:val="1"/>
          <w:bCs w:val="1"/>
          <w:rtl w:val="0"/>
        </w:rPr>
        <w:t xml:space="preserve">Next Steps</w:t>
      </w:r>
    </w:p>
    <w:p w:rsidR="00000000" w:rsidDel="00000000" w:rsidP="00000000" w:rsidRDefault="00000000" w:rsidRPr="00000000" w14:paraId="0000001B">
      <w:pPr>
        <w:rPr>
          <w:b w:val="1"/>
          <w:bCs w:val="1"/>
        </w:rPr>
      </w:pPr>
      <w:r w:rsidDel="00000000" w:rsidR="00000000" w:rsidRPr="00000000">
        <w:rPr>
          <w:rtl w:val="0"/>
        </w:rPr>
        <w:t xml:space="preserve">We want to start WCAG work this fall; we need to decide where physical accessibility work would align with this, and flesh out the schedule for the WCAG sessions.</w:t>
      </w: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rtl w:val="0"/>
        </w:rPr>
      </w:r>
    </w:p>
    <w:p w:rsidR="00000000" w:rsidDel="00000000" w:rsidP="00000000" w:rsidRDefault="00000000" w:rsidRPr="00000000" w14:paraId="0000001D">
      <w:pPr>
        <w:rPr/>
      </w:pPr>
      <w:r w:rsidDel="00000000" w:rsidR="00000000" w:rsidRPr="00000000">
        <w:rPr>
          <w:b w:val="1"/>
          <w:bCs w:val="1"/>
          <w:rtl w:val="0"/>
        </w:rPr>
        <w:t xml:space="preserve">Next Meeting: </w:t>
      </w:r>
      <w:r w:rsidDel="00000000" w:rsidR="00000000" w:rsidRPr="00000000">
        <w:rPr>
          <w:rtl w:val="0"/>
        </w:rPr>
        <w:t xml:space="preserve">TBA</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nZalYgQRJyLIf7MRq-X7fTqFB_4G5ldllMs2mpxLO2Q/edit?tab=t.0" TargetMode="External"/><Relationship Id="rId7" Type="http://schemas.openxmlformats.org/officeDocument/2006/relationships/hyperlink" Target="https://stls.libguides.com/WC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