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Equity Committee Meeting</w:t>
      </w:r>
    </w:p>
    <w:p w:rsidR="00000000" w:rsidDel="00000000" w:rsidP="00000000" w:rsidRDefault="00000000" w:rsidRPr="00000000" w14:paraId="00000002">
      <w:pPr>
        <w:rPr/>
      </w:pPr>
      <w:r w:rsidDel="00000000" w:rsidR="00000000" w:rsidRPr="00000000">
        <w:rPr>
          <w:rtl w:val="0"/>
        </w:rPr>
        <w:t xml:space="preserve">March 26, 2026 at 2 p.m., on Zoom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Attending: </w:t>
      </w:r>
      <w:r w:rsidDel="00000000" w:rsidR="00000000" w:rsidRPr="00000000">
        <w:rPr>
          <w:rtl w:val="0"/>
        </w:rPr>
        <w:t xml:space="preserve">Judith Wines (UHLS), Mary Fellows (UHLS), Chris Sagaas (UHLS), Sarah Kerr-Mace (MEND), Seth Strock (GUIL), Sarah Romeo (BETH), Andrea Nicolay (APL)</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Review of </w:t>
      </w:r>
      <w:hyperlink r:id="rId6">
        <w:r w:rsidDel="00000000" w:rsidR="00000000" w:rsidRPr="00000000">
          <w:rPr>
            <w:b w:val="1"/>
            <w:bCs w:val="1"/>
            <w:color w:val="1155cc"/>
            <w:u w:val="single"/>
            <w:rtl w:val="0"/>
          </w:rPr>
          <w:t xml:space="preserve">minutes</w:t>
        </w:r>
      </w:hyperlink>
      <w:r w:rsidDel="00000000" w:rsidR="00000000" w:rsidRPr="00000000">
        <w:rPr>
          <w:b w:val="1"/>
          <w:bCs w:val="1"/>
          <w:rtl w:val="0"/>
        </w:rPr>
        <w:t xml:space="preserve"> from February meeting</w:t>
      </w:r>
    </w:p>
    <w:p w:rsidR="00000000" w:rsidDel="00000000" w:rsidP="00000000" w:rsidRDefault="00000000" w:rsidRPr="00000000" w14:paraId="00000007">
      <w:pPr>
        <w:rPr/>
      </w:pPr>
      <w:r w:rsidDel="00000000" w:rsidR="00000000" w:rsidRPr="00000000">
        <w:rPr>
          <w:rtl w:val="0"/>
        </w:rPr>
        <w:t xml:space="preserve">No changes made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Review of </w:t>
      </w:r>
      <w:hyperlink r:id="rId7">
        <w:r w:rsidDel="00000000" w:rsidR="00000000" w:rsidRPr="00000000">
          <w:rPr>
            <w:b w:val="1"/>
            <w:bCs w:val="1"/>
            <w:color w:val="1155cc"/>
            <w:u w:val="single"/>
            <w:rtl w:val="0"/>
          </w:rPr>
          <w:t xml:space="preserve">WSTR Outreach</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There aren’t a lot of community organizations to partner with out in Westerlo, but they did find one and it seems like they have a good partnership. The broadband access project is at a standstill due to funding; Chris spoke about this issue with Pat Fahy’s office on Advocacy Day.</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Review of </w:t>
      </w:r>
      <w:hyperlink r:id="rId8">
        <w:r w:rsidDel="00000000" w:rsidR="00000000" w:rsidRPr="00000000">
          <w:rPr>
            <w:b w:val="1"/>
            <w:bCs w:val="1"/>
            <w:color w:val="1155cc"/>
            <w:u w:val="single"/>
            <w:rtl w:val="0"/>
          </w:rPr>
          <w:t xml:space="preserve">WSTR Programming</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It’s a real challenge for smaller libraries with limited resources to change programming. Sarah Kerr-Mace said that at GRAF it took several months to build up awareness and an audience, so it’s crucial to invest in it with staff time and resources. </w:t>
      </w:r>
    </w:p>
    <w:p w:rsidR="00000000" w:rsidDel="00000000" w:rsidP="00000000" w:rsidRDefault="00000000" w:rsidRPr="00000000" w14:paraId="0000000E">
      <w:pPr>
        <w:rPr/>
      </w:pPr>
      <w:r w:rsidDel="00000000" w:rsidR="00000000" w:rsidRPr="00000000">
        <w:rPr>
          <w:rtl w:val="0"/>
        </w:rPr>
        <w:t xml:space="preserve">Judith mentioned that looking at questions that were answered and not answered could be a guide for UHLS in offering support.</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Review of </w:t>
      </w:r>
      <w:hyperlink r:id="rId9">
        <w:r w:rsidDel="00000000" w:rsidR="00000000" w:rsidRPr="00000000">
          <w:rPr>
            <w:b w:val="1"/>
            <w:bCs w:val="1"/>
            <w:color w:val="1155cc"/>
            <w:u w:val="single"/>
            <w:rtl w:val="0"/>
          </w:rPr>
          <w:t xml:space="preserve">WSTR Facilities &amp; Equipment</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Interested to know what renovations were made for ADA compliance within the past 10 years. It may be time to revisit them since regulations have changed in the past years. No information given about the stakeholder, or what was done to make the bathroom accessible. </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Review of </w:t>
      </w:r>
      <w:hyperlink r:id="rId10">
        <w:r w:rsidDel="00000000" w:rsidR="00000000" w:rsidRPr="00000000">
          <w:rPr>
            <w:b w:val="1"/>
            <w:bCs w:val="1"/>
            <w:color w:val="1155cc"/>
            <w:u w:val="single"/>
            <w:rtl w:val="0"/>
          </w:rPr>
          <w:t xml:space="preserve">WSTR Collection Development</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percentage of authors from underrepresented groups seems very low compared to other library’s collections. No benchmarks or goals were mentioned regarding creating an inclusive collection for patrons with dementia. Judith noted that there’s a lack of books systemwide that are dementia-friendly (e.g. books with short stories, vignettes, and anecdotes like the </w:t>
      </w:r>
      <w:r w:rsidDel="00000000" w:rsidR="00000000" w:rsidRPr="00000000">
        <w:rPr>
          <w:i w:val="1"/>
          <w:iCs w:val="1"/>
          <w:rtl w:val="0"/>
        </w:rPr>
        <w:t xml:space="preserve">Chicken Soup for the Soul</w:t>
      </w:r>
      <w:r w:rsidDel="00000000" w:rsidR="00000000" w:rsidRPr="00000000">
        <w:rPr>
          <w:rtl w:val="0"/>
        </w:rPr>
        <w:t xml:space="preserve"> series).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Balance between pushing for more detailed answers/commitment vs. accepting that this is where they are and they are thinking about it.</w:t>
      </w:r>
    </w:p>
    <w:p w:rsidR="00000000" w:rsidDel="00000000" w:rsidP="00000000" w:rsidRDefault="00000000" w:rsidRPr="00000000" w14:paraId="00000017">
      <w:pPr>
        <w:rPr/>
      </w:pPr>
      <w:r w:rsidDel="00000000" w:rsidR="00000000" w:rsidRPr="00000000">
        <w:rPr>
          <w:rtl w:val="0"/>
        </w:rPr>
        <w:t xml:space="preserve">Chris suggested in the future, make clearer questions and expectations for the answers.</w:t>
      </w:r>
    </w:p>
    <w:p w:rsidR="00000000" w:rsidDel="00000000" w:rsidP="00000000" w:rsidRDefault="00000000" w:rsidRPr="00000000" w14:paraId="00000018">
      <w:pPr>
        <w:rPr/>
      </w:pPr>
      <w:r w:rsidDel="00000000" w:rsidR="00000000" w:rsidRPr="00000000">
        <w:rPr>
          <w:rtl w:val="0"/>
        </w:rPr>
        <w:t xml:space="preserve">It was decided that there’s value in going back to WSTR and asking for clarification on the module answers (e.g. we can ask about the genre labels that were used).</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Review of </w:t>
      </w:r>
      <w:hyperlink r:id="rId11">
        <w:r w:rsidDel="00000000" w:rsidR="00000000" w:rsidRPr="00000000">
          <w:rPr>
            <w:b w:val="1"/>
            <w:bCs w:val="1"/>
            <w:color w:val="1155cc"/>
            <w:u w:val="single"/>
            <w:rtl w:val="0"/>
          </w:rPr>
          <w:t xml:space="preserve">BERN Collection Development</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Collection development policy was last updated in 2017, but it sounds like they’re in the process of changing 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t xml:space="preserve">UHLS will look into making label templates.</w: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Hearing Loss Training</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Judith reached out to Hearing Loss Association of America Capital District Chapter and they have scheduled a training at UHLS in May. It may be helpful to hear from people with hearing loss what technology they like to see/would appreciate in libraries. Andrea noted how this crosses many Equity Challenge modules.</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Getting it Done</w:t>
      </w:r>
    </w:p>
    <w:p w:rsidR="00000000" w:rsidDel="00000000" w:rsidP="00000000" w:rsidRDefault="00000000" w:rsidRPr="00000000" w14:paraId="00000022">
      <w:pPr>
        <w:rPr/>
      </w:pPr>
      <w:r w:rsidDel="00000000" w:rsidR="00000000" w:rsidRPr="00000000">
        <w:rPr>
          <w:rtl w:val="0"/>
        </w:rPr>
        <w:t xml:space="preserve">No Getting it Done session in April; we will have another one in May.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Voor Staff Training module tabled until the next meeting</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Next Meeting: </w:t>
      </w:r>
      <w:r w:rsidDel="00000000" w:rsidR="00000000" w:rsidRPr="00000000">
        <w:rPr>
          <w:rtl w:val="0"/>
        </w:rPr>
        <w:t xml:space="preserve">TBA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usercontent.google.com/download?id=1Ac94tV1Wfs1t_a0hkTqnv_TVTiD0pgqj&amp;authuser=0&amp;acrobatPromotionSource=gdrive_chrome-native_view" TargetMode="External"/><Relationship Id="rId10" Type="http://schemas.openxmlformats.org/officeDocument/2006/relationships/hyperlink" Target="https://docs.google.com/spreadsheets/d/1WNkOFGMn7ERzI7wkphhtZGoeHNfxJX8p/edit?gid=479465953#gid=479465953" TargetMode="External"/><Relationship Id="rId9" Type="http://schemas.openxmlformats.org/officeDocument/2006/relationships/hyperlink" Target="https://docs.google.com/spreadsheets/d/1l0kOWM4WKr_kAIo3m263JAQW72vdATl8/edit?gid=1410686963#gid=1410686963" TargetMode="External"/><Relationship Id="rId5" Type="http://schemas.openxmlformats.org/officeDocument/2006/relationships/styles" Target="styles.xml"/><Relationship Id="rId6" Type="http://schemas.openxmlformats.org/officeDocument/2006/relationships/hyperlink" Target="https://www.uhls.org/wp-content/uploads/minutes/equity_committee/2_26_26-Equity-Committee-meeting-1.pdf" TargetMode="External"/><Relationship Id="rId7" Type="http://schemas.openxmlformats.org/officeDocument/2006/relationships/hyperlink" Target="https://docs.google.com/spreadsheets/d/1MFDTrKAwdPjjMlHi_JgjXoNZch4bNERf/edit?gid=407496538#gid=407496538" TargetMode="External"/><Relationship Id="rId8" Type="http://schemas.openxmlformats.org/officeDocument/2006/relationships/hyperlink" Target="https://docs.google.com/spreadsheets/d/1IJwPPdK3BeuBFTlqPNsBwQqOgSxLQ6nd/edit?gid=1243644046#gid=1243644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