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ASAC Meeting</w:t>
      </w:r>
    </w:p>
    <w:p w:rsidR="00000000" w:rsidDel="00000000" w:rsidP="00000000" w:rsidRDefault="00000000" w:rsidRPr="00000000" w14:paraId="00000002">
      <w:pPr>
        <w:rPr/>
      </w:pPr>
      <w:r w:rsidDel="00000000" w:rsidR="00000000" w:rsidRPr="00000000">
        <w:rPr>
          <w:rtl w:val="0"/>
        </w:rPr>
        <w:t xml:space="preserve">3/26/26 at</w:t>
      </w:r>
      <w:r w:rsidDel="00000000" w:rsidR="00000000" w:rsidRPr="00000000">
        <w:rPr>
          <w:rtl w:val="0"/>
        </w:rPr>
        <w:t xml:space="preserve"> 9:30am at UHLS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In Attendance:</w:t>
      </w:r>
      <w:r w:rsidDel="00000000" w:rsidR="00000000" w:rsidRPr="00000000">
        <w:rPr>
          <w:rtl w:val="0"/>
        </w:rPr>
        <w:t xml:space="preserve"> Judith Wines (UHLS), Chris Sagaas (UHLS), Meg Kelly (APL), Amy McLaughlin (APL), Sarah Kerr-Mace (MEND), Michele Reilly (VOOR), Alexis Mokhler (EGRN), Jo Ann (GUIL), Alison (GUIL), Amy Powarzynski (WSTR), Maddie (APL), Cynthia Daly (TROY), Jane Chirgwin (RENS), Catherine Snow (EGRN), Ian Hauck (EGRN), Karrie McLellan (COLN), Reni Cunningham (EGRN)</w:t>
      </w: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pPr>
      <w:hyperlink r:id="rId6">
        <w:r w:rsidDel="00000000" w:rsidR="00000000" w:rsidRPr="00000000">
          <w:rPr>
            <w:b w:val="1"/>
            <w:bCs w:val="1"/>
            <w:color w:val="1155cc"/>
            <w:u w:val="single"/>
            <w:rtl w:val="0"/>
          </w:rPr>
          <w:t xml:space="preserve">Minutes from December Meeting</w:t>
        </w:r>
      </w:hyperlink>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Senior Planet Q&amp;A with Kim Nemeth from Clifton Park-Halfmoon Public Library and Kim Zimmer from Cobleskill Library joined the meeting via Zoom to discuss their experience as Senior Planet Instructors</w:t>
      </w:r>
    </w:p>
    <w:p w:rsidR="00000000" w:rsidDel="00000000" w:rsidP="00000000" w:rsidRDefault="00000000" w:rsidRPr="00000000" w14:paraId="00000009">
      <w:pPr>
        <w:rPr/>
      </w:pPr>
      <w:r w:rsidDel="00000000" w:rsidR="00000000" w:rsidRPr="00000000">
        <w:rPr>
          <w:rtl w:val="0"/>
        </w:rPr>
        <w:t xml:space="preserve">Popular classes: Our patrons don’t care about social media literacy; most popular are “Getting to Know Your iPhone” and “Getting to Know Your Android” where students learn how to share photos, download/use apps, how to use Siri, how to use talk-to-text. Google classes are also popular, where students learn Google Docs and Google Sheets. Five-week classes are fun and foster relationships and build confidence. “How to Purchase a New Computer” and classes on AI and safety are also popular. Tech for Gardening, YouTube, Genealogy, Outdoor Adventure Apps. Travel (how to select cruises), financial management, health literacy, how to use streaming services. Lectures are 1 hour, workshops are 1.5 hours. Seniors don’t come to classes in December-February and July and August, and they don’t come after 4pm; 1pm is an ideal time. Keep a spreadsheet with everyone who has attended classes in the past and let them know of upcoming classes. Social media announcements are also made (including being directed to adult children of seniors). New classes are added every quarter.</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Econtent Updates</w:t>
      </w:r>
    </w:p>
    <w:p w:rsidR="00000000" w:rsidDel="00000000" w:rsidP="00000000" w:rsidRDefault="00000000" w:rsidRPr="00000000" w14:paraId="0000000C">
      <w:pPr>
        <w:shd w:fill="ffffff" w:val="clear"/>
        <w:rPr/>
      </w:pPr>
      <w:r w:rsidDel="00000000" w:rsidR="00000000" w:rsidRPr="00000000">
        <w:rPr>
          <w:color w:val="222222"/>
          <w:rtl w:val="0"/>
        </w:rPr>
        <w:t xml:space="preserve">In the instance where there are titles in OverDrive that are accumulating holds and it’s not possible to buy the same version, but there are other versions of the same book, we will temporarily weed the dead record and move the holds onto the record that can be purchased, with the option to unweed the dead copy at a later date.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will remove Hoopla from the online catalog, so patrons will have to go to Hoopla to find titles.</w:t>
      </w:r>
    </w:p>
    <w:p w:rsidR="00000000" w:rsidDel="00000000" w:rsidP="00000000" w:rsidRDefault="00000000" w:rsidRPr="00000000" w14:paraId="0000000E">
      <w:pPr>
        <w:rPr/>
      </w:pPr>
      <w:r w:rsidDel="00000000" w:rsidR="00000000" w:rsidRPr="00000000">
        <w:rPr>
          <w:rtl w:val="0"/>
        </w:rPr>
        <w:t xml:space="preserve">We are blocking AI content in Hoopla for ebooks and audiobooks.</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ILL Updates</w:t>
      </w:r>
    </w:p>
    <w:p w:rsidR="00000000" w:rsidDel="00000000" w:rsidP="00000000" w:rsidRDefault="00000000" w:rsidRPr="00000000" w14:paraId="00000011">
      <w:pPr>
        <w:rPr/>
      </w:pPr>
      <w:r w:rsidDel="00000000" w:rsidR="00000000" w:rsidRPr="00000000">
        <w:rPr>
          <w:rtl w:val="0"/>
        </w:rPr>
        <w:t xml:space="preserve">We are switching back to OCLC for cataloging, which will mean holdings will be up to date, Libraries that have their own OCLC accounts will probably get more requests soon given the updated holdings.</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How Colonie Library is working towards WCAG 2.0 with Karrie McLellan</w:t>
      </w:r>
    </w:p>
    <w:p w:rsidR="00000000" w:rsidDel="00000000" w:rsidP="00000000" w:rsidRDefault="00000000" w:rsidRPr="00000000" w14:paraId="00000014">
      <w:pPr>
        <w:rPr/>
      </w:pPr>
      <w:r w:rsidDel="00000000" w:rsidR="00000000" w:rsidRPr="00000000">
        <w:rPr>
          <w:rtl w:val="0"/>
        </w:rPr>
        <w:t xml:space="preserve">Karrie created a document that will be shared; advised libraries to try their best at their own pace and be aware of what needs to be done. We will be giving vendors contracts that their products they provide to us need to be WCAG 2.0-compliant. COLN made their website more text-heavy, removed unnecessary images, simplified the text, improved color contrast, improved link context. WAVE web accessibility evaluation tool is useful for identifying problem spots on your website. ADA Tray can be purchased so users can customize things. PDFs are not accessible, and the only way to do this is to pay for Adobe. </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Programming Partnerships</w:t>
      </w:r>
    </w:p>
    <w:p w:rsidR="00000000" w:rsidDel="00000000" w:rsidP="00000000" w:rsidRDefault="00000000" w:rsidRPr="00000000" w14:paraId="00000017">
      <w:pPr>
        <w:rPr/>
      </w:pPr>
      <w:r w:rsidDel="00000000" w:rsidR="00000000" w:rsidRPr="00000000">
        <w:rPr>
          <w:rtl w:val="0"/>
        </w:rPr>
        <w:t xml:space="preserve">Will send out through email</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Upcoming CEs: Patrons with Hearing Loss, Readers Advisory</w:t>
      </w:r>
    </w:p>
    <w:p w:rsidR="00000000" w:rsidDel="00000000" w:rsidP="00000000" w:rsidRDefault="00000000" w:rsidRPr="00000000" w14:paraId="0000001A">
      <w:pPr>
        <w:rPr/>
      </w:pPr>
      <w:r w:rsidDel="00000000" w:rsidR="00000000" w:rsidRPr="00000000">
        <w:rPr>
          <w:rtl w:val="0"/>
        </w:rPr>
        <w:t xml:space="preserve">Will send out through email</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Open Forum</w:t>
      </w:r>
    </w:p>
    <w:p w:rsidR="00000000" w:rsidDel="00000000" w:rsidP="00000000" w:rsidRDefault="00000000" w:rsidRPr="00000000" w14:paraId="0000001D">
      <w:pPr>
        <w:shd w:fill="ffffff" w:val="clear"/>
        <w:ind w:left="720" w:firstLine="0"/>
        <w:rPr/>
      </w:pPr>
      <w:r w:rsidDel="00000000" w:rsidR="00000000" w:rsidRPr="00000000">
        <w:rPr>
          <w:rtl w:val="0"/>
        </w:rPr>
      </w:r>
    </w:p>
    <w:p w:rsidR="00000000" w:rsidDel="00000000" w:rsidP="00000000" w:rsidRDefault="00000000" w:rsidRPr="00000000" w14:paraId="0000001E">
      <w:pPr>
        <w:shd w:fill="ffffff" w:val="clear"/>
        <w:ind w:left="0" w:firstLine="0"/>
        <w:rPr>
          <w:color w:val="222222"/>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hls.org/wp-content/uploads/minutes/adult_services_ac/ASAC_minutes_202512.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